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1E48" w14:textId="77777777" w:rsidR="00C57654" w:rsidRDefault="00C57654">
      <w:pPr>
        <w:pStyle w:val="Titolo"/>
        <w:rPr>
          <w:sz w:val="2"/>
        </w:rPr>
      </w:pPr>
    </w:p>
    <w:tbl>
      <w:tblPr>
        <w:tblStyle w:val="TableNormal"/>
        <w:tblW w:w="1495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99"/>
        <w:gridCol w:w="3118"/>
        <w:gridCol w:w="3864"/>
        <w:gridCol w:w="2326"/>
        <w:gridCol w:w="1935"/>
      </w:tblGrid>
      <w:tr w:rsidR="00C57654" w14:paraId="7ADCE420" w14:textId="77777777" w:rsidTr="006C18B9">
        <w:trPr>
          <w:trHeight w:val="366"/>
        </w:trPr>
        <w:tc>
          <w:tcPr>
            <w:tcW w:w="14958" w:type="dxa"/>
            <w:gridSpan w:val="6"/>
          </w:tcPr>
          <w:p w14:paraId="624E8F50" w14:textId="77777777" w:rsidR="00C57654" w:rsidRDefault="00000000">
            <w:pPr>
              <w:pStyle w:val="TableParagraph"/>
              <w:spacing w:line="347" w:lineRule="exact"/>
              <w:ind w:left="10" w:right="3"/>
              <w:jc w:val="center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SCADENZIARIO</w:t>
            </w:r>
            <w:r>
              <w:rPr>
                <w:b/>
                <w:spacing w:val="36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NUOVI</w:t>
            </w:r>
            <w:r>
              <w:rPr>
                <w:b/>
                <w:spacing w:val="42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OBBLIGHI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AMMINISTRATIVI</w:t>
            </w:r>
          </w:p>
        </w:tc>
      </w:tr>
      <w:tr w:rsidR="00C57654" w14:paraId="38DC63FA" w14:textId="77777777" w:rsidTr="006C18B9">
        <w:trPr>
          <w:trHeight w:val="367"/>
        </w:trPr>
        <w:tc>
          <w:tcPr>
            <w:tcW w:w="14958" w:type="dxa"/>
            <w:gridSpan w:val="6"/>
          </w:tcPr>
          <w:p w14:paraId="07288754" w14:textId="77777777" w:rsidR="00C57654" w:rsidRDefault="00000000">
            <w:pPr>
              <w:pStyle w:val="TableParagraph"/>
              <w:spacing w:line="347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CITTADINI</w:t>
            </w:r>
          </w:p>
        </w:tc>
      </w:tr>
      <w:tr w:rsidR="00C57654" w14:paraId="379A52B7" w14:textId="77777777" w:rsidTr="006C18B9">
        <w:trPr>
          <w:trHeight w:val="885"/>
        </w:trPr>
        <w:tc>
          <w:tcPr>
            <w:tcW w:w="1716" w:type="dxa"/>
          </w:tcPr>
          <w:p w14:paraId="79F44C14" w14:textId="77777777" w:rsidR="00C57654" w:rsidRDefault="00000000">
            <w:pPr>
              <w:pStyle w:val="TableParagraph"/>
              <w:spacing w:before="123"/>
              <w:ind w:left="134"/>
              <w:rPr>
                <w:b/>
              </w:rPr>
            </w:pPr>
            <w:r>
              <w:rPr>
                <w:b/>
                <w:spacing w:val="-2"/>
              </w:rPr>
              <w:t>Denominazione</w:t>
            </w:r>
          </w:p>
        </w:tc>
        <w:tc>
          <w:tcPr>
            <w:tcW w:w="1999" w:type="dxa"/>
          </w:tcPr>
          <w:p w14:paraId="2C178870" w14:textId="77777777" w:rsidR="00C57654" w:rsidRDefault="00000000">
            <w:pPr>
              <w:pStyle w:val="TableParagraph"/>
              <w:spacing w:before="123"/>
              <w:ind w:left="396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3118" w:type="dxa"/>
          </w:tcPr>
          <w:p w14:paraId="1DD9FD31" w14:textId="77777777" w:rsidR="00C57654" w:rsidRDefault="00000000">
            <w:pPr>
              <w:pStyle w:val="TableParagraph"/>
              <w:spacing w:before="123"/>
              <w:ind w:left="634"/>
              <w:rPr>
                <w:b/>
              </w:rPr>
            </w:pPr>
            <w:r>
              <w:rPr>
                <w:b/>
                <w:spacing w:val="-2"/>
              </w:rPr>
              <w:t>Scadenza</w:t>
            </w:r>
          </w:p>
        </w:tc>
        <w:tc>
          <w:tcPr>
            <w:tcW w:w="3864" w:type="dxa"/>
          </w:tcPr>
          <w:p w14:paraId="108FDB56" w14:textId="31DEED36" w:rsidR="00C57654" w:rsidRDefault="00F22884" w:rsidP="00F22884">
            <w:pPr>
              <w:pStyle w:val="TableParagraph"/>
              <w:spacing w:before="123"/>
              <w:ind w:right="1613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                      Lin</w:t>
            </w:r>
            <w:r>
              <w:rPr>
                <w:b/>
              </w:rPr>
              <w:t>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al </w:t>
            </w:r>
            <w:r>
              <w:rPr>
                <w:b/>
                <w:spacing w:val="-4"/>
              </w:rPr>
              <w:t>sito</w:t>
            </w:r>
          </w:p>
        </w:tc>
        <w:tc>
          <w:tcPr>
            <w:tcW w:w="2326" w:type="dxa"/>
          </w:tcPr>
          <w:p w14:paraId="79DE2424" w14:textId="77777777" w:rsidR="00C57654" w:rsidRDefault="00000000">
            <w:pPr>
              <w:pStyle w:val="TableParagraph"/>
              <w:spacing w:before="123"/>
              <w:ind w:left="28"/>
              <w:jc w:val="center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  <w:tc>
          <w:tcPr>
            <w:tcW w:w="1934" w:type="dxa"/>
          </w:tcPr>
          <w:p w14:paraId="5A1D783B" w14:textId="77777777" w:rsidR="00C57654" w:rsidRDefault="00000000">
            <w:pPr>
              <w:pStyle w:val="TableParagraph"/>
              <w:ind w:left="433" w:right="412" w:firstLine="98"/>
              <w:rPr>
                <w:b/>
              </w:rPr>
            </w:pPr>
            <w:r>
              <w:rPr>
                <w:b/>
              </w:rPr>
              <w:t xml:space="preserve">Ufficio di </w:t>
            </w:r>
            <w:r>
              <w:rPr>
                <w:b/>
                <w:spacing w:val="-2"/>
              </w:rPr>
              <w:t>riferimento</w:t>
            </w:r>
          </w:p>
        </w:tc>
      </w:tr>
      <w:tr w:rsidR="00C57654" w14:paraId="4659DD78" w14:textId="77777777" w:rsidTr="006C18B9">
        <w:trPr>
          <w:trHeight w:val="1768"/>
        </w:trPr>
        <w:tc>
          <w:tcPr>
            <w:tcW w:w="1716" w:type="dxa"/>
          </w:tcPr>
          <w:p w14:paraId="366403CF" w14:textId="77777777" w:rsidR="00C57654" w:rsidRDefault="00C57654">
            <w:pPr>
              <w:pStyle w:val="TableParagraph"/>
            </w:pPr>
          </w:p>
          <w:p w14:paraId="35F2E10F" w14:textId="77777777" w:rsidR="00C57654" w:rsidRDefault="00C57654">
            <w:pPr>
              <w:pStyle w:val="TableParagraph"/>
              <w:spacing w:before="123"/>
            </w:pPr>
          </w:p>
          <w:p w14:paraId="41B0D384" w14:textId="77777777" w:rsidR="00C57654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IMU</w:t>
            </w:r>
          </w:p>
        </w:tc>
        <w:tc>
          <w:tcPr>
            <w:tcW w:w="1999" w:type="dxa"/>
          </w:tcPr>
          <w:p w14:paraId="37AF4B57" w14:textId="75B7CE7E" w:rsidR="00C57654" w:rsidRDefault="00000000">
            <w:pPr>
              <w:pStyle w:val="TableParagraph"/>
              <w:spacing w:before="250"/>
              <w:ind w:left="113" w:right="724"/>
            </w:pPr>
            <w:r>
              <w:rPr>
                <w:spacing w:val="-2"/>
              </w:rPr>
              <w:t>Versa</w:t>
            </w:r>
            <w:r w:rsidR="006C18B9">
              <w:rPr>
                <w:spacing w:val="-2"/>
              </w:rPr>
              <w:t>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Imposta Munici</w:t>
            </w:r>
            <w:r>
              <w:rPr>
                <w:spacing w:val="-4"/>
              </w:rPr>
              <w:t>pale</w:t>
            </w:r>
          </w:p>
          <w:p w14:paraId="5AEA2105" w14:textId="77777777" w:rsidR="00C57654" w:rsidRDefault="00000000">
            <w:pPr>
              <w:pStyle w:val="TableParagraph"/>
              <w:spacing w:before="1" w:line="233" w:lineRule="exact"/>
              <w:ind w:left="113"/>
            </w:pPr>
            <w:r>
              <w:rPr>
                <w:spacing w:val="-2"/>
              </w:rPr>
              <w:t>Propria</w:t>
            </w:r>
          </w:p>
        </w:tc>
        <w:tc>
          <w:tcPr>
            <w:tcW w:w="3118" w:type="dxa"/>
          </w:tcPr>
          <w:p w14:paraId="6301A38B" w14:textId="77777777" w:rsidR="00C57654" w:rsidRDefault="00000000">
            <w:pPr>
              <w:pStyle w:val="TableParagraph"/>
              <w:spacing w:line="247" w:lineRule="exact"/>
              <w:ind w:left="111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giugno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50EBE675" w14:textId="77777777" w:rsidR="00C57654" w:rsidRDefault="00000000">
            <w:pPr>
              <w:pStyle w:val="TableParagraph"/>
              <w:spacing w:before="4"/>
              <w:ind w:left="111" w:right="157"/>
            </w:pPr>
            <w:r>
              <w:t>acconto; 16 dicembre2023 saldo;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pagamento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unica soluzione 16 giugno</w:t>
            </w:r>
          </w:p>
          <w:p w14:paraId="04F503FA" w14:textId="77777777" w:rsidR="00C57654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2023.</w:t>
            </w:r>
          </w:p>
        </w:tc>
        <w:tc>
          <w:tcPr>
            <w:tcW w:w="3864" w:type="dxa"/>
          </w:tcPr>
          <w:p w14:paraId="3BA6B36C" w14:textId="710E03EB" w:rsidR="003C2873" w:rsidRDefault="003C2873">
            <w:pPr>
              <w:pStyle w:val="TableParagraph"/>
              <w:spacing w:before="123"/>
            </w:pPr>
            <w:r>
              <w:t>Regolamento IMU</w:t>
            </w:r>
          </w:p>
          <w:p w14:paraId="14D36A75" w14:textId="65D7EBDA" w:rsidR="00F22884" w:rsidRDefault="003C2873">
            <w:pPr>
              <w:pStyle w:val="TableParagraph"/>
              <w:spacing w:before="123"/>
            </w:pPr>
            <w:hyperlink r:id="rId5" w:history="1">
              <w:r w:rsidRPr="00C20CB7">
                <w:rPr>
                  <w:rStyle w:val="Collegamentoipertestuale"/>
                </w:rPr>
                <w:t>http://www.comune.mallare.sv.it/portals/1003/SiscomArchivio/7/RegolamentoIMU.pdf</w:t>
              </w:r>
            </w:hyperlink>
          </w:p>
          <w:p w14:paraId="430256A5" w14:textId="47954766" w:rsidR="003C2873" w:rsidRDefault="003C2873">
            <w:pPr>
              <w:pStyle w:val="TableParagraph"/>
              <w:spacing w:before="123"/>
            </w:pPr>
            <w:r>
              <w:t>Delibera Approvazione Tariffe 2023</w:t>
            </w:r>
          </w:p>
          <w:p w14:paraId="60BFCE18" w14:textId="50130C83" w:rsidR="004E3F8C" w:rsidRDefault="004E3F8C">
            <w:pPr>
              <w:pStyle w:val="TableParagraph"/>
              <w:spacing w:before="123"/>
            </w:pPr>
            <w:hyperlink r:id="rId6" w:history="1">
              <w:r w:rsidRPr="00C20CB7">
                <w:rPr>
                  <w:rStyle w:val="Collegamentoipertestuale"/>
                </w:rPr>
                <w:t>http://www.comune.mallare.sv.it/portals/1003/SiscomArchivio/4/DeliberaTariffe2023.pdf</w:t>
              </w:r>
            </w:hyperlink>
          </w:p>
          <w:p w14:paraId="635CC271" w14:textId="0C68C89F" w:rsidR="00411BD2" w:rsidRDefault="00411BD2" w:rsidP="00411BD2">
            <w:pPr>
              <w:pStyle w:val="TableParagraph"/>
              <w:spacing w:before="123"/>
            </w:pPr>
          </w:p>
        </w:tc>
        <w:tc>
          <w:tcPr>
            <w:tcW w:w="2326" w:type="dxa"/>
          </w:tcPr>
          <w:p w14:paraId="789C595D" w14:textId="77777777" w:rsidR="00C57654" w:rsidRDefault="00C57654">
            <w:pPr>
              <w:pStyle w:val="TableParagraph"/>
            </w:pPr>
          </w:p>
        </w:tc>
        <w:tc>
          <w:tcPr>
            <w:tcW w:w="1934" w:type="dxa"/>
          </w:tcPr>
          <w:p w14:paraId="74DC669F" w14:textId="77777777" w:rsidR="00C57654" w:rsidRDefault="00000000" w:rsidP="006C39C2">
            <w:pPr>
              <w:pStyle w:val="TableParagraph"/>
            </w:pPr>
            <w:r>
              <w:t>Servizio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  <w:tr w:rsidR="00C57654" w14:paraId="0264FD87" w14:textId="77777777" w:rsidTr="006C18B9">
        <w:trPr>
          <w:trHeight w:val="1204"/>
        </w:trPr>
        <w:tc>
          <w:tcPr>
            <w:tcW w:w="1716" w:type="dxa"/>
          </w:tcPr>
          <w:p w14:paraId="00921A3E" w14:textId="77777777" w:rsidR="00C57654" w:rsidRDefault="00000000">
            <w:pPr>
              <w:pStyle w:val="TableParagraph"/>
              <w:spacing w:before="250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Dichiarazione </w:t>
            </w:r>
            <w:r>
              <w:rPr>
                <w:b/>
                <w:spacing w:val="-4"/>
              </w:rPr>
              <w:t>IMU</w:t>
            </w:r>
          </w:p>
        </w:tc>
        <w:tc>
          <w:tcPr>
            <w:tcW w:w="1999" w:type="dxa"/>
          </w:tcPr>
          <w:p w14:paraId="0005613E" w14:textId="77777777" w:rsidR="00C57654" w:rsidRDefault="00C57654">
            <w:pPr>
              <w:pStyle w:val="TableParagraph"/>
              <w:spacing w:before="122"/>
            </w:pPr>
          </w:p>
          <w:p w14:paraId="69703B26" w14:textId="77777777" w:rsidR="00C57654" w:rsidRDefault="00000000">
            <w:pPr>
              <w:pStyle w:val="TableParagraph"/>
              <w:ind w:left="113"/>
            </w:pPr>
            <w:r>
              <w:rPr>
                <w:spacing w:val="-2"/>
              </w:rPr>
              <w:t>Dichiarazione</w:t>
            </w:r>
          </w:p>
        </w:tc>
        <w:tc>
          <w:tcPr>
            <w:tcW w:w="3118" w:type="dxa"/>
          </w:tcPr>
          <w:p w14:paraId="5DC7DB29" w14:textId="6663FDD1" w:rsidR="00C57654" w:rsidRDefault="00000000" w:rsidP="00F22884">
            <w:pPr>
              <w:pStyle w:val="TableParagraph"/>
              <w:ind w:left="111" w:right="157"/>
            </w:pPr>
            <w:r>
              <w:t>Per</w:t>
            </w:r>
            <w:r>
              <w:rPr>
                <w:spacing w:val="-6"/>
              </w:rPr>
              <w:t xml:space="preserve"> </w:t>
            </w:r>
            <w:r>
              <w:t>l’anno</w:t>
            </w:r>
            <w:r>
              <w:rPr>
                <w:spacing w:val="-6"/>
              </w:rPr>
              <w:t xml:space="preserve"> </w:t>
            </w:r>
            <w:r>
              <w:t>2022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scadenza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6"/>
              </w:rPr>
              <w:t xml:space="preserve"> </w:t>
            </w:r>
            <w:r>
              <w:t xml:space="preserve">al </w:t>
            </w:r>
            <w:r>
              <w:rPr>
                <w:spacing w:val="-6"/>
              </w:rPr>
              <w:t>30</w:t>
            </w:r>
            <w:r w:rsidR="00F22884">
              <w:t xml:space="preserve"> </w:t>
            </w:r>
            <w:r>
              <w:t>giugno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572F94DA" w14:textId="77777777" w:rsidR="00C57654" w:rsidRDefault="00000000">
            <w:pPr>
              <w:pStyle w:val="TableParagraph"/>
              <w:spacing w:line="232" w:lineRule="exact"/>
              <w:ind w:left="111" w:right="157"/>
            </w:pPr>
            <w:r>
              <w:t>Per</w:t>
            </w:r>
            <w:r>
              <w:rPr>
                <w:spacing w:val="-6"/>
              </w:rPr>
              <w:t xml:space="preserve"> </w:t>
            </w:r>
            <w:r>
              <w:t>l’anno</w:t>
            </w:r>
            <w:r>
              <w:rPr>
                <w:spacing w:val="-6"/>
              </w:rPr>
              <w:t xml:space="preserve"> </w:t>
            </w:r>
            <w:r>
              <w:t>2023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scadenza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6"/>
              </w:rPr>
              <w:t xml:space="preserve"> </w:t>
            </w:r>
            <w:r>
              <w:t>al 30 giugno 2024</w:t>
            </w:r>
          </w:p>
        </w:tc>
        <w:tc>
          <w:tcPr>
            <w:tcW w:w="3864" w:type="dxa"/>
          </w:tcPr>
          <w:p w14:paraId="576E4AAF" w14:textId="77777777" w:rsidR="00C57654" w:rsidRDefault="00C57654">
            <w:pPr>
              <w:pStyle w:val="TableParagraph"/>
            </w:pPr>
          </w:p>
          <w:p w14:paraId="3D33ED19" w14:textId="77777777" w:rsidR="00C57654" w:rsidRDefault="00C57654">
            <w:pPr>
              <w:pStyle w:val="TableParagraph"/>
              <w:spacing w:before="123"/>
            </w:pPr>
          </w:p>
          <w:p w14:paraId="0C1BA38A" w14:textId="1D2DB6EE" w:rsidR="00C57654" w:rsidRDefault="00C57654">
            <w:pPr>
              <w:pStyle w:val="TableParagraph"/>
              <w:ind w:left="113"/>
            </w:pPr>
          </w:p>
        </w:tc>
        <w:tc>
          <w:tcPr>
            <w:tcW w:w="2326" w:type="dxa"/>
          </w:tcPr>
          <w:p w14:paraId="1B5D953D" w14:textId="77777777" w:rsidR="00C57654" w:rsidRDefault="00C57654">
            <w:pPr>
              <w:pStyle w:val="TableParagraph"/>
            </w:pPr>
          </w:p>
        </w:tc>
        <w:tc>
          <w:tcPr>
            <w:tcW w:w="1934" w:type="dxa"/>
          </w:tcPr>
          <w:p w14:paraId="71FFEE47" w14:textId="77777777" w:rsidR="00C57654" w:rsidRDefault="00000000" w:rsidP="006C39C2">
            <w:pPr>
              <w:pStyle w:val="TableParagraph"/>
            </w:pPr>
            <w:r>
              <w:t>Servizio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  <w:tr w:rsidR="00C57654" w14:paraId="1B049A52" w14:textId="77777777" w:rsidTr="006C18B9">
        <w:trPr>
          <w:trHeight w:val="3888"/>
        </w:trPr>
        <w:tc>
          <w:tcPr>
            <w:tcW w:w="1716" w:type="dxa"/>
            <w:vMerge w:val="restart"/>
          </w:tcPr>
          <w:p w14:paraId="775ECE86" w14:textId="77777777" w:rsidR="00C57654" w:rsidRDefault="00C57654">
            <w:pPr>
              <w:pStyle w:val="TableParagraph"/>
            </w:pPr>
          </w:p>
          <w:p w14:paraId="0B25EA83" w14:textId="77777777" w:rsidR="00C57654" w:rsidRDefault="00C57654">
            <w:pPr>
              <w:pStyle w:val="TableParagraph"/>
            </w:pPr>
          </w:p>
          <w:p w14:paraId="48A2697F" w14:textId="77777777" w:rsidR="00C57654" w:rsidRDefault="00C57654">
            <w:pPr>
              <w:pStyle w:val="TableParagraph"/>
            </w:pPr>
          </w:p>
          <w:p w14:paraId="19B61909" w14:textId="77777777" w:rsidR="00C57654" w:rsidRDefault="00C57654">
            <w:pPr>
              <w:pStyle w:val="TableParagraph"/>
            </w:pPr>
          </w:p>
          <w:p w14:paraId="79EB3752" w14:textId="77777777" w:rsidR="00C57654" w:rsidRDefault="00C57654">
            <w:pPr>
              <w:pStyle w:val="TableParagraph"/>
            </w:pPr>
          </w:p>
          <w:p w14:paraId="4FB648D0" w14:textId="77777777" w:rsidR="00C57654" w:rsidRDefault="00C57654">
            <w:pPr>
              <w:pStyle w:val="TableParagraph"/>
            </w:pPr>
          </w:p>
          <w:p w14:paraId="1F142F80" w14:textId="77777777" w:rsidR="00C57654" w:rsidRDefault="00C57654">
            <w:pPr>
              <w:pStyle w:val="TableParagraph"/>
              <w:spacing w:before="44"/>
            </w:pPr>
          </w:p>
          <w:p w14:paraId="646F1677" w14:textId="77777777" w:rsidR="00C57654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4"/>
              </w:rPr>
              <w:t>TARI</w:t>
            </w:r>
          </w:p>
        </w:tc>
        <w:tc>
          <w:tcPr>
            <w:tcW w:w="1999" w:type="dxa"/>
          </w:tcPr>
          <w:p w14:paraId="14BDD2B0" w14:textId="77777777" w:rsidR="00C57654" w:rsidRDefault="00C57654">
            <w:pPr>
              <w:pStyle w:val="TableParagraph"/>
            </w:pPr>
          </w:p>
          <w:p w14:paraId="51485C4A" w14:textId="77777777" w:rsidR="00C57654" w:rsidRDefault="00C57654">
            <w:pPr>
              <w:pStyle w:val="TableParagraph"/>
            </w:pPr>
          </w:p>
          <w:p w14:paraId="60095F1E" w14:textId="77777777" w:rsidR="00C57654" w:rsidRDefault="00C57654">
            <w:pPr>
              <w:pStyle w:val="TableParagraph"/>
            </w:pPr>
          </w:p>
          <w:p w14:paraId="6292F2BD" w14:textId="77777777" w:rsidR="00C57654" w:rsidRDefault="00C57654">
            <w:pPr>
              <w:pStyle w:val="TableParagraph"/>
            </w:pPr>
          </w:p>
          <w:p w14:paraId="3A772BA1" w14:textId="77777777" w:rsidR="00C57654" w:rsidRDefault="00C57654">
            <w:pPr>
              <w:pStyle w:val="TableParagraph"/>
            </w:pPr>
          </w:p>
          <w:p w14:paraId="08D199B5" w14:textId="77777777" w:rsidR="00C57654" w:rsidRDefault="00C57654">
            <w:pPr>
              <w:pStyle w:val="TableParagraph"/>
            </w:pPr>
          </w:p>
          <w:p w14:paraId="6C025C8A" w14:textId="77777777" w:rsidR="00C57654" w:rsidRDefault="00C57654">
            <w:pPr>
              <w:pStyle w:val="TableParagraph"/>
              <w:spacing w:before="44"/>
            </w:pPr>
          </w:p>
          <w:p w14:paraId="31A50548" w14:textId="77777777" w:rsidR="00C57654" w:rsidRDefault="00000000">
            <w:pPr>
              <w:pStyle w:val="TableParagraph"/>
              <w:ind w:left="113"/>
            </w:pPr>
            <w:r>
              <w:rPr>
                <w:spacing w:val="-2"/>
              </w:rPr>
              <w:t>Dichiarazione</w:t>
            </w:r>
          </w:p>
        </w:tc>
        <w:tc>
          <w:tcPr>
            <w:tcW w:w="3118" w:type="dxa"/>
          </w:tcPr>
          <w:p w14:paraId="5B83A2B3" w14:textId="44206ADC" w:rsidR="00C57654" w:rsidRDefault="00CC79BD" w:rsidP="00CC79BD">
            <w:pPr>
              <w:pStyle w:val="TableParagraph"/>
              <w:ind w:left="111" w:right="157"/>
            </w:pPr>
            <w:r w:rsidRPr="00CC79BD">
              <w:rPr>
                <w:spacing w:val="-4"/>
              </w:rPr>
              <w:t xml:space="preserve">Entro il 31 gennaio successivo alla data </w:t>
            </w:r>
            <w:r w:rsidR="00000000" w:rsidRPr="00CC79BD">
              <w:rPr>
                <w:spacing w:val="-4"/>
              </w:rPr>
              <w:t xml:space="preserve">in cui si verificano inizio, variazione o cessazione del possesso dell’immobile o ogni circostanza rilevante per l’applicazione del tributo così come prevista </w:t>
            </w:r>
            <w:r w:rsidR="00F22884" w:rsidRPr="00CC79BD">
              <w:rPr>
                <w:spacing w:val="-4"/>
              </w:rPr>
              <w:t>da</w:t>
            </w:r>
            <w:r w:rsidR="00000000" w:rsidRPr="00CC79BD">
              <w:rPr>
                <w:spacing w:val="-4"/>
              </w:rPr>
              <w:t>l regolamento per l’applicazione della tassa sui rifiuti.</w:t>
            </w:r>
          </w:p>
        </w:tc>
        <w:tc>
          <w:tcPr>
            <w:tcW w:w="3864" w:type="dxa"/>
          </w:tcPr>
          <w:p w14:paraId="65C6D889" w14:textId="1C4107FD" w:rsidR="00C57654" w:rsidRDefault="00F22884">
            <w:pPr>
              <w:pStyle w:val="TableParagraph"/>
            </w:pPr>
            <w:r>
              <w:t>Regolamento TARI</w:t>
            </w:r>
          </w:p>
          <w:p w14:paraId="40AF1310" w14:textId="22A626BB" w:rsidR="00411BD2" w:rsidRDefault="006C18B9" w:rsidP="006C18B9">
            <w:pPr>
              <w:pStyle w:val="TableParagraph"/>
            </w:pPr>
            <w:hyperlink r:id="rId7" w:history="1">
              <w:r w:rsidRPr="00C20CB7">
                <w:rPr>
                  <w:rStyle w:val="Collegamentoipertestuale"/>
                </w:rPr>
                <w:t>http://www.comune.mallare.sv.it/portals/1003/SiscomArchivio/7/RegolamentoTARI.pdf</w:t>
              </w:r>
            </w:hyperlink>
          </w:p>
          <w:p w14:paraId="41E86DB2" w14:textId="77777777" w:rsidR="006C18B9" w:rsidRDefault="006C18B9" w:rsidP="006C18B9">
            <w:pPr>
              <w:pStyle w:val="TableParagraph"/>
            </w:pPr>
          </w:p>
          <w:p w14:paraId="1D88FEA9" w14:textId="77777777" w:rsidR="00F22884" w:rsidRDefault="00F22884" w:rsidP="006C39C2">
            <w:pPr>
              <w:pStyle w:val="TableParagraph"/>
            </w:pPr>
            <w:r>
              <w:t>Tariffe TAR</w:t>
            </w:r>
            <w:r w:rsidR="006C39C2">
              <w:t>I</w:t>
            </w:r>
          </w:p>
          <w:p w14:paraId="0B5DB973" w14:textId="11766E1B" w:rsidR="006C39C2" w:rsidRDefault="006C18B9" w:rsidP="006C39C2">
            <w:pPr>
              <w:pStyle w:val="TableParagraph"/>
            </w:pPr>
            <w:hyperlink r:id="rId8" w:history="1">
              <w:r w:rsidRPr="00C20CB7">
                <w:rPr>
                  <w:rStyle w:val="Collegamentoipertestuale"/>
                </w:rPr>
                <w:t>http://www.comune.mallare.sv.it/portals/1003/SiscomArchivio/4/DeliberaCC15del22052023ApprovazionetariffeescadenzeTARI2022-PresadattoPEF2023.pdf</w:t>
              </w:r>
            </w:hyperlink>
          </w:p>
          <w:p w14:paraId="59B48090" w14:textId="504DF62F" w:rsidR="006C18B9" w:rsidRDefault="006C18B9" w:rsidP="006C39C2">
            <w:pPr>
              <w:pStyle w:val="TableParagraph"/>
            </w:pPr>
          </w:p>
        </w:tc>
        <w:tc>
          <w:tcPr>
            <w:tcW w:w="2326" w:type="dxa"/>
          </w:tcPr>
          <w:p w14:paraId="4CC6358F" w14:textId="77777777" w:rsidR="00F22884" w:rsidRDefault="00F22884" w:rsidP="006C39C2">
            <w:pPr>
              <w:pStyle w:val="TableParagraph"/>
              <w:ind w:right="156"/>
            </w:pPr>
            <w:r>
              <w:t xml:space="preserve">Regolamento aggiornato con </w:t>
            </w:r>
            <w:r w:rsidR="006C18B9">
              <w:t>Delibera di Consiglio N.21 del 29.06.2021</w:t>
            </w:r>
          </w:p>
          <w:p w14:paraId="37988026" w14:textId="77777777" w:rsidR="006C18B9" w:rsidRDefault="006C18B9" w:rsidP="006C39C2">
            <w:pPr>
              <w:pStyle w:val="TableParagraph"/>
              <w:ind w:right="156"/>
            </w:pPr>
          </w:p>
          <w:p w14:paraId="5612A020" w14:textId="208E1799" w:rsidR="006C18B9" w:rsidRDefault="006C18B9" w:rsidP="006C39C2">
            <w:pPr>
              <w:pStyle w:val="TableParagraph"/>
              <w:ind w:right="156"/>
            </w:pPr>
            <w:hyperlink r:id="rId9" w:history="1">
              <w:r w:rsidRPr="00C20CB7">
                <w:rPr>
                  <w:rStyle w:val="Collegamentoipertestuale"/>
                </w:rPr>
                <w:t>http://www.comune.mallare.sv.it/portals/1003/SiscomArchivio/7/DeliberaModificaregolamentoTARI29062021.pdf</w:t>
              </w:r>
            </w:hyperlink>
          </w:p>
          <w:p w14:paraId="2810D478" w14:textId="274DBCB2" w:rsidR="006C18B9" w:rsidRDefault="006C18B9" w:rsidP="006C39C2">
            <w:pPr>
              <w:pStyle w:val="TableParagraph"/>
              <w:ind w:right="156"/>
            </w:pPr>
          </w:p>
        </w:tc>
        <w:tc>
          <w:tcPr>
            <w:tcW w:w="1934" w:type="dxa"/>
          </w:tcPr>
          <w:p w14:paraId="61231C61" w14:textId="77777777" w:rsidR="00C57654" w:rsidRDefault="00000000" w:rsidP="006C39C2">
            <w:pPr>
              <w:pStyle w:val="TableParagraph"/>
            </w:pPr>
            <w:r>
              <w:t>Servizio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  <w:tr w:rsidR="00C57654" w14:paraId="32A66897" w14:textId="77777777" w:rsidTr="006C18B9">
        <w:trPr>
          <w:trHeight w:val="760"/>
        </w:trPr>
        <w:tc>
          <w:tcPr>
            <w:tcW w:w="1716" w:type="dxa"/>
            <w:vMerge/>
            <w:tcBorders>
              <w:top w:val="nil"/>
            </w:tcBorders>
          </w:tcPr>
          <w:p w14:paraId="1AA0F08B" w14:textId="77777777" w:rsidR="00C57654" w:rsidRDefault="00C57654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 w14:paraId="2B38B32E" w14:textId="77777777" w:rsidR="00C57654" w:rsidRDefault="00000000">
            <w:pPr>
              <w:pStyle w:val="TableParagraph"/>
              <w:spacing w:before="250"/>
              <w:ind w:left="113"/>
            </w:pPr>
            <w:r>
              <w:rPr>
                <w:spacing w:val="-2"/>
              </w:rPr>
              <w:t>Versamenti</w:t>
            </w:r>
          </w:p>
        </w:tc>
        <w:tc>
          <w:tcPr>
            <w:tcW w:w="3118" w:type="dxa"/>
          </w:tcPr>
          <w:p w14:paraId="251D1761" w14:textId="77777777" w:rsidR="00C57654" w:rsidRDefault="00C57654" w:rsidP="006C18B9">
            <w:pPr>
              <w:pStyle w:val="TableParagraph"/>
              <w:spacing w:line="247" w:lineRule="exact"/>
            </w:pPr>
          </w:p>
          <w:p w14:paraId="1DB07583" w14:textId="77777777" w:rsidR="006C18B9" w:rsidRDefault="006C18B9" w:rsidP="006C18B9">
            <w:pPr>
              <w:pStyle w:val="TableParagraph"/>
              <w:spacing w:line="247" w:lineRule="exact"/>
            </w:pPr>
            <w:r>
              <w:t>1° rata 30/09/2023</w:t>
            </w:r>
          </w:p>
          <w:p w14:paraId="27866BBD" w14:textId="0580F758" w:rsidR="006C18B9" w:rsidRDefault="006C18B9" w:rsidP="006C18B9">
            <w:pPr>
              <w:pStyle w:val="TableParagraph"/>
              <w:spacing w:line="247" w:lineRule="exact"/>
            </w:pPr>
            <w:r>
              <w:t>2° rata 31/12/2023</w:t>
            </w:r>
          </w:p>
          <w:p w14:paraId="393EA568" w14:textId="5C66F582" w:rsidR="006C18B9" w:rsidRDefault="006C18B9" w:rsidP="006C18B9">
            <w:pPr>
              <w:pStyle w:val="TableParagraph"/>
              <w:spacing w:line="247" w:lineRule="exact"/>
            </w:pPr>
          </w:p>
        </w:tc>
        <w:tc>
          <w:tcPr>
            <w:tcW w:w="3864" w:type="dxa"/>
          </w:tcPr>
          <w:p w14:paraId="19599ACA" w14:textId="77777777" w:rsidR="00F22884" w:rsidRDefault="00F22884">
            <w:pPr>
              <w:pStyle w:val="TableParagraph"/>
              <w:spacing w:before="101"/>
              <w:ind w:left="113"/>
            </w:pPr>
          </w:p>
          <w:p w14:paraId="335C5B60" w14:textId="64AB43EC" w:rsidR="00C57654" w:rsidRDefault="00F22884">
            <w:pPr>
              <w:pStyle w:val="TableParagraph"/>
              <w:spacing w:before="101"/>
              <w:ind w:left="113"/>
            </w:pPr>
            <w:r>
              <w:t>Anno 2023</w:t>
            </w:r>
          </w:p>
        </w:tc>
        <w:tc>
          <w:tcPr>
            <w:tcW w:w="2326" w:type="dxa"/>
          </w:tcPr>
          <w:p w14:paraId="792A4E7C" w14:textId="77777777" w:rsidR="00C57654" w:rsidRDefault="00000000">
            <w:pPr>
              <w:pStyle w:val="TableParagraph"/>
              <w:spacing w:before="250"/>
              <w:ind w:left="116"/>
            </w:pPr>
            <w:r>
              <w:rPr>
                <w:spacing w:val="-2"/>
              </w:rPr>
              <w:t>Regolamento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TARI</w:t>
            </w:r>
          </w:p>
        </w:tc>
        <w:tc>
          <w:tcPr>
            <w:tcW w:w="1934" w:type="dxa"/>
          </w:tcPr>
          <w:p w14:paraId="6711D85D" w14:textId="77777777" w:rsidR="00C57654" w:rsidRDefault="00000000">
            <w:pPr>
              <w:pStyle w:val="TableParagraph"/>
              <w:spacing w:before="250"/>
              <w:ind w:left="111"/>
            </w:pPr>
            <w:r>
              <w:t>Servizio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</w:tbl>
    <w:p w14:paraId="3507258C" w14:textId="77777777" w:rsidR="0044717B" w:rsidRDefault="0044717B"/>
    <w:sectPr w:rsidR="0044717B">
      <w:type w:val="continuous"/>
      <w:pgSz w:w="16850" w:h="11920" w:orient="landscape"/>
      <w:pgMar w:top="460" w:right="18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654"/>
    <w:rsid w:val="003C2873"/>
    <w:rsid w:val="00411BD2"/>
    <w:rsid w:val="0044717B"/>
    <w:rsid w:val="004E3F8C"/>
    <w:rsid w:val="006C18B9"/>
    <w:rsid w:val="006C39C2"/>
    <w:rsid w:val="00C57654"/>
    <w:rsid w:val="00CC79BD"/>
    <w:rsid w:val="00F2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D2B"/>
  <w15:docId w15:val="{F2E34003-DFBF-4A79-A32A-5D37D3C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F228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llare.sv.it/portals/1003/SiscomArchivio/4/DeliberaCC15del22052023ApprovazionetariffeescadenzeTARI2022-PresadattoPEF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allare.sv.it/portals/1003/SiscomArchivio/7/RegolamentoTAR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mallare.sv.it/portals/1003/SiscomArchivio/4/DeliberaTariffe20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une.mallare.sv.it/portals/1003/SiscomArchivio/7/RegolamentoIM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mallare.sv.it/portals/1003/SiscomArchivio/7/DeliberaModificaregolamentoTARI2906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58E6-466E-4EE9-8BA2-109D31E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SCADENZIARIO NUOVI OBBLIGHI AMMINISTRATIVI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SCADENZIARIO NUOVI OBBLIGHI AMMINISTRATIVI</dc:title>
  <dc:creator>Cervia</dc:creator>
  <cp:lastModifiedBy>user</cp:lastModifiedBy>
  <cp:revision>4</cp:revision>
  <cp:lastPrinted>2023-09-07T09:50:00Z</cp:lastPrinted>
  <dcterms:created xsi:type="dcterms:W3CDTF">2023-09-03T10:26:00Z</dcterms:created>
  <dcterms:modified xsi:type="dcterms:W3CDTF">2023-09-07T09:51:00Z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2023-09-03T00:00:00Z</vt:filetime>
  </property>
  <property fmtid="{D5CDD505-2E9C-101B-9397-08002B2CF9AE}" pid="5" name="Producer">
    <vt:lpwstr>Microsoft® Word 2019</vt:lpwstr>
  </property>
</Properties>
</file>